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IT6: СОКРОВИЩА АПУЛИИ И НЕАПОЛЯ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ГРАЦ – БОЛОНЬЯ – САН-МАРИНО* – БАРИ – МАТЕРА* – АЛЬБЕРОБЕЛЛО* – МОНОПОЛИ* – НЕАПОЛЬ – КАПРИ* – РИМ – ВАТИКАН* – АБАНО-ТЕРМЕ</w:t>
      </w:r>
    </w:p>
    <w:p w:rsidR="00000000" w:rsidDel="00000000" w:rsidP="00000000" w:rsidRDefault="00000000" w:rsidRPr="00000000" w14:paraId="00000005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10 дней / 8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РП, Чехии (~650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Грац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(~410 км) в Грац.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Грацу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холм Шлоссберг,  площадь Хауптплатц, собор Домкирхе и др.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(~455 км) на ночлег в отеле на территории Италии.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Болонья – Сан-Марино*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(~130 км) в Болонью.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Болонье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Церковь Сан-Франческо, Палаццо Комунале, Фонтан Нептуна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Сан-Марино: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Свободы, Базилика Святого Марино и др.</w:t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(~355 км) на ночлег в отеле на территории Италии.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Бари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(~325 км) в Бари.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Бари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Базилика Святого Николая, Кафедральный собор Святого Сабино, Норманно-швабский замок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в отеле в пригороде Бари.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Матера* – Альберобелло* – Монополи*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Свободный день в Бари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(! проезд в Бари и обратно осуществляется самостоятельно на общественном транспорте)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“Сокровища Апулии - Матера, Альберобелло и Монополи”.</w:t>
            </w:r>
          </w:p>
          <w:p w:rsidR="00000000" w:rsidDel="00000000" w:rsidP="00000000" w:rsidRDefault="00000000" w:rsidRPr="00000000" w14:paraId="0000002A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Неаполь – Капри*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(~265 км) в Неаполь.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Неаполю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Кастель-дель-Ово, Кастель Нуово, галереи Умберто и др.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на остров Капри.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*В случае отсутствия навигации или недостаточного количества желающих вместо экскурсии на Капри будет предложена дополнительная экскурсия в Сорренто.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(~185 км) на ночлег в отеле  на территории Италии.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Рим – Ватикан*</w:t>
            </w:r>
          </w:p>
        </w:tc>
      </w:tr>
      <w:tr>
        <w:trPr>
          <w:cantSplit w:val="0"/>
          <w:trHeight w:val="5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(~90 км) в Рим.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Риму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фонтан Треви, Пантеон, Пьяцца Навона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Ватикану: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и Собор Святого Петра (внутренний осмотр), Замок Святого Ангела.</w:t>
            </w:r>
          </w:p>
          <w:p w:rsidR="00000000" w:rsidDel="00000000" w:rsidP="00000000" w:rsidRDefault="00000000" w:rsidRPr="00000000" w14:paraId="00000040">
            <w:pPr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(~530 км) на ночлег в отеле на территории Италии.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Абано-Терме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в Абано-Терме..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Собор Сан-Лоренцо, площадь Солнца и Мира и т.д.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термального комплекса Columbus.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(~775 км) на ночлег в отеле на территории Чехии.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!!! Возможно прибытие в отель после 00.00.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 Дорога домой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(~740 км) по территории Чехии и Польши. 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 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 день: С возвращением!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</w:p>
        </w:tc>
      </w:tr>
    </w:tbl>
    <w:p w:rsidR="00000000" w:rsidDel="00000000" w:rsidP="00000000" w:rsidRDefault="00000000" w:rsidRPr="00000000" w14:paraId="00000053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54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55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56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58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25.04.2026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04.05.2026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1110</w:t>
            </w:r>
          </w:p>
        </w:tc>
      </w:tr>
    </w:tbl>
    <w:p w:rsidR="00000000" w:rsidDel="00000000" w:rsidP="00000000" w:rsidRDefault="00000000" w:rsidRPr="00000000" w14:paraId="00000063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2-3* либо без категории: 6 ночей в транзитных отелях, 2 ночи в пригороде Бари.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Экскурсионное обслуживание в городах Грац, Болонья, Бари, Неаполь, Рим.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по Абано-Терме.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–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Сан-Марино - €15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“Сокровища Апулии - Матера, Альберобелло и Монополи” - €50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на остров Капри - €75 (катер Неаполь-Капри-Неаполь,  фуникулер из порта Капри до исторического центра, билет в сады, экскурсия с гидом)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Сорренто - €25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на общественный транспорт для въезда/выезда в Риме - €7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Ватикану - €20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термального комплекса Columbus - от €30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7C">
      <w:pPr>
        <w:ind w:right="34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eading=h.bzg5isrs2bb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jezyi8pea17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heading=h.555pncsfq2s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bDy5hk1sF8KqHdSjkWXC/Kkg==">CgMxLjAyDmgucWd0ZnE5dmxhbm1uMg5oLjNqc200ZDU3eXlhZDIOaC5iemc1aXNyczJiYjQyDmguamV6eWk4cGVhMTdjMg5oLjU1NXBuY3NmcTJzMjgAciExczZWQ0E0aGpQazNFQ2V6ZU1CZEpXSDA1OU50aW54TFU=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vit</dc:creator>
</cp:coreProperties>
</file>